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302CA8" w14:textId="77777777" w:rsidR="00505171" w:rsidRDefault="00DF5B90">
      <w:pPr>
        <w:pStyle w:val="Standard1"/>
      </w:pPr>
      <w:r>
        <w:rPr>
          <w:noProof/>
          <w:lang w:eastAsia="de-DE" w:bidi="ar-SA"/>
        </w:rPr>
        <w:drawing>
          <wp:anchor distT="0" distB="0" distL="114300" distR="114300" simplePos="0" relativeHeight="251658240" behindDoc="0" locked="0" layoutInCell="1" allowOverlap="1" wp14:anchorId="0D802A84" wp14:editId="08EBC18E">
            <wp:simplePos x="0" y="0"/>
            <wp:positionH relativeFrom="page">
              <wp:posOffset>1416599</wp:posOffset>
            </wp:positionH>
            <wp:positionV relativeFrom="page">
              <wp:posOffset>4469760</wp:posOffset>
            </wp:positionV>
            <wp:extent cx="1621080" cy="3056760"/>
            <wp:effectExtent l="0" t="0" r="0" b="0"/>
            <wp:wrapTopAndBottom/>
            <wp:docPr id="1" name="Grafik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6">
                      <a:lum/>
                      <a:alphaModFix/>
                    </a:blip>
                    <a:srcRect/>
                    <a:stretch>
                      <a:fillRect/>
                    </a:stretch>
                  </pic:blipFill>
                  <pic:spPr>
                    <a:xfrm>
                      <a:off x="0" y="0"/>
                      <a:ext cx="1621080" cy="3056760"/>
                    </a:xfrm>
                    <a:prstGeom prst="rect">
                      <a:avLst/>
                    </a:prstGeom>
                    <a:ln>
                      <a:noFill/>
                      <a:prstDash/>
                    </a:ln>
                  </pic:spPr>
                </pic:pic>
              </a:graphicData>
            </a:graphic>
          </wp:anchor>
        </w:drawing>
      </w:r>
      <w:r>
        <w:t>Finn Schrader                           Chemie Stundenprotokoll   -  27.04.16</w:t>
      </w:r>
    </w:p>
    <w:p w14:paraId="3E2E251D" w14:textId="77777777" w:rsidR="00505171" w:rsidRDefault="00505171">
      <w:pPr>
        <w:pStyle w:val="Standard1"/>
      </w:pPr>
    </w:p>
    <w:p w14:paraId="0B529B96" w14:textId="0381ACF7" w:rsidR="00505171" w:rsidRPr="00935C87" w:rsidRDefault="00935C87">
      <w:pPr>
        <w:pStyle w:val="Standard1"/>
        <w:rPr>
          <w:b/>
        </w:rPr>
      </w:pPr>
      <w:r>
        <w:rPr>
          <w:b/>
        </w:rPr>
        <w:t>Versuche zur Titration</w:t>
      </w:r>
    </w:p>
    <w:p w14:paraId="7B2778FE" w14:textId="77777777" w:rsidR="00505171" w:rsidRDefault="00505171">
      <w:pPr>
        <w:pStyle w:val="Standard1"/>
      </w:pPr>
    </w:p>
    <w:p w14:paraId="3459AE9F" w14:textId="21A36E5B" w:rsidR="00505171" w:rsidRDefault="00DF5B90">
      <w:pPr>
        <w:pStyle w:val="Standard1"/>
      </w:pPr>
      <w:r>
        <w:t xml:space="preserve">Titration: Bei der Titration handelt es sich um ein Verfahren um die Konzentration einer Lösung (Probelösung) feststellen zu können. Dabei wird einer Probelösung kleinschrittig eine Maßlösung hinzugefügt , um den Farbumschlag </w:t>
      </w:r>
      <w:r w:rsidR="00935C87">
        <w:t>am Äquivalenzpunkt</w:t>
      </w:r>
      <w:r>
        <w:t xml:space="preserve"> durch einen Indikator analysieren zu können, um mit den herausgefundenen Werten die Konzentration der Probelösung feststellen zu können. Das ganze geht auch mit Hilfe der Leitfähigkeit. Wir haben uns aber der ersteren Variante bedient.</w:t>
      </w:r>
    </w:p>
    <w:p w14:paraId="6F8CD776" w14:textId="77777777" w:rsidR="00505171" w:rsidRDefault="00505171">
      <w:pPr>
        <w:pStyle w:val="Standard1"/>
      </w:pPr>
    </w:p>
    <w:p w14:paraId="0932B192" w14:textId="77777777" w:rsidR="00505171" w:rsidRPr="00935C87" w:rsidRDefault="00DF5B90">
      <w:pPr>
        <w:pStyle w:val="Standard1"/>
        <w:rPr>
          <w:b/>
        </w:rPr>
      </w:pPr>
      <w:r w:rsidRPr="00935C87">
        <w:rPr>
          <w:b/>
        </w:rPr>
        <w:t>Versuch 1: Säurekonzentration vom Haushaltsessig</w:t>
      </w:r>
    </w:p>
    <w:p w14:paraId="78D2F07F" w14:textId="77777777" w:rsidR="00505171" w:rsidRDefault="00505171">
      <w:pPr>
        <w:pStyle w:val="Standard1"/>
      </w:pPr>
    </w:p>
    <w:p w14:paraId="4F613CC2" w14:textId="77777777" w:rsidR="00505171" w:rsidRDefault="00DF5B90">
      <w:pPr>
        <w:pStyle w:val="Standard1"/>
      </w:pPr>
      <w:r>
        <w:t>Materialien:</w:t>
      </w:r>
    </w:p>
    <w:p w14:paraId="6064CBCC" w14:textId="77777777" w:rsidR="00505171" w:rsidRDefault="00DF5B90">
      <w:pPr>
        <w:pStyle w:val="Standard1"/>
      </w:pPr>
      <w:r>
        <w:t>Bürette, Erlenmeyerkolben, Stativ, Doppelmuffe, Messzylinder</w:t>
      </w:r>
    </w:p>
    <w:p w14:paraId="15EB2B7A" w14:textId="77777777" w:rsidR="00505171" w:rsidRDefault="00DF5B90">
      <w:pPr>
        <w:pStyle w:val="Standard1"/>
      </w:pPr>
      <w:r>
        <w:t>Maßlösung: Natronlauge (c= 1</w:t>
      </w:r>
      <w:r>
        <w:rPr>
          <w:vertAlign w:val="superscript"/>
        </w:rPr>
        <w:t>mol</w:t>
      </w:r>
      <w:r>
        <w:t>/</w:t>
      </w:r>
      <w:r>
        <w:rPr>
          <w:vertAlign w:val="subscript"/>
        </w:rPr>
        <w:t>l</w:t>
      </w:r>
      <w:r>
        <w:t>)</w:t>
      </w:r>
    </w:p>
    <w:p w14:paraId="79EF9D0A" w14:textId="77777777" w:rsidR="00505171" w:rsidRDefault="00DF5B90">
      <w:pPr>
        <w:pStyle w:val="Standard1"/>
      </w:pPr>
      <w:r>
        <w:t>Probelösung: Haushaltsessig (c=?)</w:t>
      </w:r>
    </w:p>
    <w:p w14:paraId="786891E6" w14:textId="4F023C0A" w:rsidR="00505171" w:rsidRDefault="00DF5B90">
      <w:pPr>
        <w:pStyle w:val="Standard1"/>
      </w:pPr>
      <w:r>
        <w:t xml:space="preserve">Indikator: Phenolphthalein (sollte nach Möglichkeit bei Säuren und Basen </w:t>
      </w:r>
      <w:r w:rsidR="00935C87">
        <w:t>deutlich unterscheidbare</w:t>
      </w:r>
      <w:r>
        <w:t xml:space="preserve"> Farben zeigen</w:t>
      </w:r>
      <w:r w:rsidR="00935C87">
        <w:t>; hier: farblos/rosa</w:t>
      </w:r>
      <w:r>
        <w:t>)</w:t>
      </w:r>
    </w:p>
    <w:p w14:paraId="5EB21BC4" w14:textId="77777777" w:rsidR="00505171" w:rsidRDefault="00505171">
      <w:pPr>
        <w:pStyle w:val="Standard1"/>
      </w:pPr>
    </w:p>
    <w:p w14:paraId="71E007BD" w14:textId="23C6398E" w:rsidR="00505171" w:rsidRDefault="00DF5B90">
      <w:pPr>
        <w:pStyle w:val="Standard1"/>
      </w:pPr>
      <w:r>
        <w:t>Aufbau</w:t>
      </w:r>
      <w:r w:rsidR="00935C87">
        <w:t>:</w:t>
      </w:r>
    </w:p>
    <w:p w14:paraId="3A95E030" w14:textId="77777777" w:rsidR="00505171" w:rsidRDefault="00505171">
      <w:pPr>
        <w:pStyle w:val="Standard1"/>
      </w:pPr>
    </w:p>
    <w:p w14:paraId="22C6551A" w14:textId="77777777" w:rsidR="00505171" w:rsidRDefault="00505171">
      <w:pPr>
        <w:pStyle w:val="Standard1"/>
      </w:pPr>
    </w:p>
    <w:p w14:paraId="2DBB7ABF" w14:textId="77777777" w:rsidR="00505171" w:rsidRDefault="00DF5B90">
      <w:pPr>
        <w:pStyle w:val="Standard1"/>
      </w:pPr>
      <w:r>
        <w:t>Durchführung:</w:t>
      </w:r>
    </w:p>
    <w:p w14:paraId="0C60C2FD" w14:textId="77777777" w:rsidR="00505171" w:rsidRDefault="00505171">
      <w:pPr>
        <w:pStyle w:val="Standard1"/>
      </w:pPr>
    </w:p>
    <w:p w14:paraId="77250FF7" w14:textId="7A102892" w:rsidR="00505171" w:rsidRDefault="00DF5B90">
      <w:pPr>
        <w:pStyle w:val="Standard1"/>
      </w:pPr>
      <w:r>
        <w:t>20ml der Probelösung werden in den E</w:t>
      </w:r>
      <w:r w:rsidR="00935C87">
        <w:t>rlenmeyerkolben zusammen mit 5 T</w:t>
      </w:r>
      <w:r>
        <w:t>ropfen des Indikators gegeben.</w:t>
      </w:r>
    </w:p>
    <w:p w14:paraId="63E26F70" w14:textId="77777777" w:rsidR="00505171" w:rsidRDefault="00DF5B90">
      <w:pPr>
        <w:pStyle w:val="Standard1"/>
      </w:pPr>
      <w:r>
        <w:t>50ml der Maßlösung werden in die Bürette eingefüllt.</w:t>
      </w:r>
    </w:p>
    <w:p w14:paraId="00DA0D82" w14:textId="77777777" w:rsidR="00505171" w:rsidRDefault="00DF5B90">
      <w:pPr>
        <w:pStyle w:val="Standard1"/>
      </w:pPr>
      <w:r>
        <w:t>Nach und nach wird die Maßlösung bis zum Farbumschlag der Probelösung hinzugefügt.</w:t>
      </w:r>
    </w:p>
    <w:p w14:paraId="4844E455" w14:textId="77777777" w:rsidR="00505171" w:rsidRDefault="00505171">
      <w:pPr>
        <w:pStyle w:val="Standard1"/>
      </w:pPr>
    </w:p>
    <w:p w14:paraId="15F85BE3" w14:textId="77777777" w:rsidR="00505171" w:rsidRDefault="00DF5B90">
      <w:pPr>
        <w:pStyle w:val="Standard1"/>
      </w:pPr>
      <w:r>
        <w:t>Beobachtung:</w:t>
      </w:r>
    </w:p>
    <w:p w14:paraId="73E9CB95" w14:textId="3D278BA9" w:rsidR="00505171" w:rsidRDefault="007229A3">
      <w:pPr>
        <w:pStyle w:val="Standard1"/>
      </w:pPr>
      <w:r>
        <w:t>D</w:t>
      </w:r>
      <w:r w:rsidR="00DF5B90">
        <w:t>er Farbumschlag findet bei 16,5 ml Maßlösung in der Bürette statt.</w:t>
      </w:r>
    </w:p>
    <w:p w14:paraId="6B341534" w14:textId="77777777" w:rsidR="00505171" w:rsidRDefault="00DF5B90">
      <w:pPr>
        <w:pStyle w:val="Standard1"/>
      </w:pPr>
      <w:r>
        <w:t>Die Lösung hat sich rosa verfärbt.</w:t>
      </w:r>
    </w:p>
    <w:p w14:paraId="481E5251" w14:textId="77777777" w:rsidR="00505171" w:rsidRDefault="00505171">
      <w:pPr>
        <w:pStyle w:val="Standard1"/>
      </w:pPr>
    </w:p>
    <w:p w14:paraId="4E48D2F4" w14:textId="77777777" w:rsidR="00505171" w:rsidRDefault="00505171">
      <w:pPr>
        <w:pStyle w:val="Standard1"/>
      </w:pPr>
    </w:p>
    <w:p w14:paraId="5AD1B933" w14:textId="77777777" w:rsidR="00505171" w:rsidRDefault="00DF5B90">
      <w:pPr>
        <w:pStyle w:val="Standard1"/>
      </w:pPr>
      <w:r>
        <w:t>Auswertung (Berechnung der Konzentration) :</w:t>
      </w:r>
    </w:p>
    <w:p w14:paraId="3ABABC35" w14:textId="77777777" w:rsidR="00505171" w:rsidRDefault="00505171">
      <w:pPr>
        <w:pStyle w:val="Standard1"/>
      </w:pPr>
    </w:p>
    <w:p w14:paraId="28D31F90" w14:textId="51085FE1" w:rsidR="00505171" w:rsidRDefault="00DF5B90">
      <w:pPr>
        <w:pStyle w:val="Standard1"/>
      </w:pPr>
      <w:r>
        <w:t xml:space="preserve">Reaktionsgleichung:     </w:t>
      </w:r>
      <w:r w:rsidRPr="00935C87">
        <w:rPr>
          <w:b/>
        </w:rPr>
        <w:t>1</w:t>
      </w:r>
      <w:r w:rsidR="00935C87">
        <w:t xml:space="preserve"> </w:t>
      </w:r>
      <w:r>
        <w:t>CH</w:t>
      </w:r>
      <w:r>
        <w:rPr>
          <w:vertAlign w:val="subscript"/>
        </w:rPr>
        <w:t>3</w:t>
      </w:r>
      <w:r>
        <w:t xml:space="preserve">-COOH + </w:t>
      </w:r>
      <w:r w:rsidRPr="00935C87">
        <w:rPr>
          <w:b/>
        </w:rPr>
        <w:t>1</w:t>
      </w:r>
      <w:r w:rsidR="00935C87">
        <w:t xml:space="preserve"> </w:t>
      </w:r>
      <w:r>
        <w:t>Na</w:t>
      </w:r>
      <w:r>
        <w:rPr>
          <w:vertAlign w:val="superscript"/>
        </w:rPr>
        <w:t>+</w:t>
      </w:r>
      <w:r>
        <w:t>(OH)</w:t>
      </w:r>
      <w:r>
        <w:rPr>
          <w:vertAlign w:val="superscript"/>
        </w:rPr>
        <w:t>-</w:t>
      </w:r>
      <w:r>
        <w:t xml:space="preserve"> </w:t>
      </w:r>
      <w:r w:rsidR="00364039" w:rsidRPr="00554851">
        <w:rPr>
          <w:rFonts w:ascii="Arial" w:hAnsi="Arial" w:cs="Arial"/>
          <w:position w:val="2"/>
          <w:sz w:val="22"/>
          <w:szCs w:val="22"/>
        </w:rPr>
        <w:object w:dxaOrig="336" w:dyaOrig="111" w14:anchorId="2BD62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pt;height:5.5pt" o:ole="" filled="t">
            <v:imagedata r:id="rId7" o:title=""/>
          </v:shape>
          <o:OLEObject Type="Embed" ProgID="ACD.ChemSketch.20" ShapeID="_x0000_i1025" DrawAspect="Content" ObjectID="_1525444251" r:id="rId8"/>
        </w:object>
      </w:r>
      <w:r>
        <w:t xml:space="preserve"> CH</w:t>
      </w:r>
      <w:r>
        <w:rPr>
          <w:vertAlign w:val="subscript"/>
        </w:rPr>
        <w:t>3</w:t>
      </w:r>
      <w:r>
        <w:t>-COO</w:t>
      </w:r>
      <w:r>
        <w:rPr>
          <w:vertAlign w:val="superscript"/>
        </w:rPr>
        <w:t>-</w:t>
      </w:r>
      <w:r>
        <w:t xml:space="preserve"> + Na</w:t>
      </w:r>
      <w:r>
        <w:rPr>
          <w:vertAlign w:val="superscript"/>
        </w:rPr>
        <w:t>+</w:t>
      </w:r>
      <w:r>
        <w:t xml:space="preserve"> +</w:t>
      </w:r>
      <w:r w:rsidR="00935C87">
        <w:t xml:space="preserve"> </w:t>
      </w:r>
      <w:r>
        <w:t>H</w:t>
      </w:r>
      <w:r>
        <w:rPr>
          <w:vertAlign w:val="subscript"/>
        </w:rPr>
        <w:t>2</w:t>
      </w:r>
      <w:r>
        <w:t>O</w:t>
      </w:r>
    </w:p>
    <w:p w14:paraId="466E96C7" w14:textId="77777777" w:rsidR="00505171" w:rsidRDefault="00505171">
      <w:pPr>
        <w:pStyle w:val="Standard1"/>
      </w:pPr>
    </w:p>
    <w:p w14:paraId="1B9B245D" w14:textId="77777777" w:rsidR="00505171" w:rsidRDefault="00DF5B90">
      <w:pPr>
        <w:pStyle w:val="Standard1"/>
      </w:pPr>
      <w:r>
        <w:t>Formel: c</w:t>
      </w:r>
      <w:r>
        <w:rPr>
          <w:vertAlign w:val="subscript"/>
        </w:rPr>
        <w:t>1</w:t>
      </w:r>
      <w:r>
        <w:t>* V</w:t>
      </w:r>
      <w:r>
        <w:rPr>
          <w:vertAlign w:val="subscript"/>
        </w:rPr>
        <w:t>1</w:t>
      </w:r>
      <w:r>
        <w:t xml:space="preserve"> (Probelösung) = c</w:t>
      </w:r>
      <w:r>
        <w:rPr>
          <w:vertAlign w:val="subscript"/>
        </w:rPr>
        <w:t>2</w:t>
      </w:r>
      <w:r>
        <w:t xml:space="preserve"> * V</w:t>
      </w:r>
      <w:r>
        <w:rPr>
          <w:vertAlign w:val="subscript"/>
        </w:rPr>
        <w:t xml:space="preserve">2  </w:t>
      </w:r>
      <w:r>
        <w:t>(Maßlösung)   (Formelsammlung S.147)</w:t>
      </w:r>
    </w:p>
    <w:p w14:paraId="29CED5FC" w14:textId="77777777" w:rsidR="00505171" w:rsidRDefault="00DF5B90">
      <w:pPr>
        <w:pStyle w:val="Standard1"/>
      </w:pPr>
      <w:r>
        <w:t xml:space="preserve">                      </w:t>
      </w:r>
    </w:p>
    <w:p w14:paraId="7EF3E1FC" w14:textId="77777777" w:rsidR="00505171" w:rsidRDefault="00DF5B90">
      <w:pPr>
        <w:pStyle w:val="Standard1"/>
      </w:pPr>
      <w:r>
        <w:t xml:space="preserve">                           c * 20ml   =   1</w:t>
      </w:r>
      <w:r>
        <w:rPr>
          <w:vertAlign w:val="superscript"/>
        </w:rPr>
        <w:t>mol</w:t>
      </w:r>
      <w:r>
        <w:t>/</w:t>
      </w:r>
      <w:r>
        <w:rPr>
          <w:vertAlign w:val="subscript"/>
        </w:rPr>
        <w:t xml:space="preserve">l  </w:t>
      </w:r>
      <w:r>
        <w:t>* 16,5ml         nach c auflösen</w:t>
      </w:r>
    </w:p>
    <w:p w14:paraId="6D317EA6" w14:textId="77777777" w:rsidR="00505171" w:rsidRDefault="00DF5B90">
      <w:pPr>
        <w:pStyle w:val="Standard1"/>
      </w:pPr>
      <w:r>
        <w:t xml:space="preserve">                          n</w:t>
      </w:r>
      <w:r>
        <w:rPr>
          <w:vertAlign w:val="subscript"/>
        </w:rPr>
        <w:t>(CH3-COOH)</w:t>
      </w:r>
      <w:r>
        <w:t xml:space="preserve">   =   n</w:t>
      </w:r>
      <w:r>
        <w:rPr>
          <w:vertAlign w:val="subscript"/>
        </w:rPr>
        <w:t>(NaOH)</w:t>
      </w:r>
    </w:p>
    <w:p w14:paraId="1ED49B1F" w14:textId="77777777" w:rsidR="00505171" w:rsidRDefault="00505171">
      <w:pPr>
        <w:pStyle w:val="Standard1"/>
      </w:pPr>
    </w:p>
    <w:p w14:paraId="5D4FAEA1" w14:textId="77777777" w:rsidR="00505171" w:rsidRDefault="00DF5B90">
      <w:pPr>
        <w:pStyle w:val="Standard1"/>
      </w:pPr>
      <w:r>
        <w:rPr>
          <w:vertAlign w:val="subscript"/>
        </w:rPr>
        <w:t xml:space="preserve">                                                                      </w:t>
      </w:r>
      <w:r>
        <w:t>c  =  0,825</w:t>
      </w:r>
      <w:r>
        <w:rPr>
          <w:vertAlign w:val="superscript"/>
        </w:rPr>
        <w:t>mol</w:t>
      </w:r>
      <w:r>
        <w:t>/</w:t>
      </w:r>
      <w:r>
        <w:rPr>
          <w:vertAlign w:val="subscript"/>
        </w:rPr>
        <w:t>l</w:t>
      </w:r>
    </w:p>
    <w:p w14:paraId="54EB436F" w14:textId="77777777" w:rsidR="00505171" w:rsidRDefault="00505171">
      <w:pPr>
        <w:pStyle w:val="Standard1"/>
      </w:pPr>
    </w:p>
    <w:p w14:paraId="6086D735" w14:textId="77777777" w:rsidR="00505171" w:rsidRDefault="00DF5B90">
      <w:pPr>
        <w:pStyle w:val="Standard1"/>
      </w:pPr>
      <w:r>
        <w:t>Umrechnen in Prozent:</w:t>
      </w:r>
    </w:p>
    <w:p w14:paraId="2FFAFCF3" w14:textId="77777777" w:rsidR="00505171" w:rsidRDefault="00DF5B90">
      <w:pPr>
        <w:pStyle w:val="Standard1"/>
      </w:pPr>
      <w:r>
        <w:t>M</w:t>
      </w:r>
      <w:r>
        <w:rPr>
          <w:vertAlign w:val="subscript"/>
        </w:rPr>
        <w:t>(CH3-COOH)</w:t>
      </w:r>
      <w:r>
        <w:t>= 60</w:t>
      </w:r>
      <w:r>
        <w:rPr>
          <w:vertAlign w:val="superscript"/>
        </w:rPr>
        <w:t>g</w:t>
      </w:r>
      <w:r>
        <w:t>/</w:t>
      </w:r>
      <w:r>
        <w:rPr>
          <w:vertAlign w:val="subscript"/>
        </w:rPr>
        <w:t>mol</w:t>
      </w:r>
    </w:p>
    <w:p w14:paraId="4AC6B0F2" w14:textId="03E42DDA" w:rsidR="00505171" w:rsidRDefault="00DF5B90">
      <w:pPr>
        <w:pStyle w:val="Standard1"/>
      </w:pPr>
      <w:r>
        <w:t>m</w:t>
      </w:r>
      <w:r>
        <w:rPr>
          <w:vertAlign w:val="subscript"/>
        </w:rPr>
        <w:t>(CH3-COOH)</w:t>
      </w:r>
      <w:r>
        <w:t>= 60</w:t>
      </w:r>
      <w:r>
        <w:rPr>
          <w:vertAlign w:val="superscript"/>
        </w:rPr>
        <w:t>g</w:t>
      </w:r>
      <w:r>
        <w:t>/</w:t>
      </w:r>
      <w:r>
        <w:rPr>
          <w:vertAlign w:val="subscript"/>
        </w:rPr>
        <w:t>mol</w:t>
      </w:r>
      <w:r>
        <w:t xml:space="preserve"> * 0.825</w:t>
      </w:r>
      <w:r w:rsidRPr="00F31E4A">
        <w:t>mol</w:t>
      </w:r>
    </w:p>
    <w:p w14:paraId="437F165F" w14:textId="063282C0" w:rsidR="00505171" w:rsidRDefault="00DF5B90">
      <w:pPr>
        <w:pStyle w:val="Standard1"/>
      </w:pPr>
      <w:r>
        <w:rPr>
          <w:vertAlign w:val="subscript"/>
        </w:rPr>
        <w:t xml:space="preserve">                            </w:t>
      </w:r>
      <w:r>
        <w:t>= 49,5</w:t>
      </w:r>
      <w:r w:rsidRPr="0061301B">
        <w:t>g</w:t>
      </w:r>
    </w:p>
    <w:p w14:paraId="7D8A07E9" w14:textId="77777777" w:rsidR="00505171" w:rsidRDefault="00DF5B90">
      <w:pPr>
        <w:pStyle w:val="Standard1"/>
      </w:pPr>
      <w:r>
        <w:t xml:space="preserve">1L Haushaltsessig </w:t>
      </w:r>
      <w:r>
        <w:rPr>
          <w:rFonts w:eastAsia="Times New Roman" w:cs="Times New Roman"/>
        </w:rPr>
        <w:t>≈</w:t>
      </w:r>
      <w:r>
        <w:t xml:space="preserve"> 1kg  (Vergleich: 1L Wasser = </w:t>
      </w:r>
      <w:r>
        <w:rPr>
          <w:rFonts w:eastAsia="Times New Roman" w:cs="Times New Roman"/>
        </w:rPr>
        <w:t>1kg)</w:t>
      </w:r>
    </w:p>
    <w:p w14:paraId="335E67D6" w14:textId="77777777" w:rsidR="00505171" w:rsidRDefault="00505171">
      <w:pPr>
        <w:pStyle w:val="Standard1"/>
      </w:pPr>
    </w:p>
    <w:p w14:paraId="47C24FB0" w14:textId="77777777" w:rsidR="00505171" w:rsidRDefault="00DF5B90">
      <w:pPr>
        <w:pStyle w:val="Standard1"/>
      </w:pPr>
      <w:r>
        <w:rPr>
          <w:sz w:val="30"/>
          <w:szCs w:val="30"/>
          <w:vertAlign w:val="superscript"/>
        </w:rPr>
        <w:t>49,5g</w:t>
      </w:r>
      <w:r>
        <w:rPr>
          <w:sz w:val="30"/>
          <w:szCs w:val="30"/>
        </w:rPr>
        <w:t>/</w:t>
      </w:r>
      <w:r>
        <w:rPr>
          <w:sz w:val="30"/>
          <w:szCs w:val="30"/>
          <w:vertAlign w:val="subscript"/>
        </w:rPr>
        <w:t>1000g</w:t>
      </w:r>
      <w:r>
        <w:t xml:space="preserve"> = 0,0495 = </w:t>
      </w:r>
      <w:r>
        <w:rPr>
          <w:u w:val="single"/>
        </w:rPr>
        <w:t xml:space="preserve">4,95 % </w:t>
      </w:r>
      <w:r>
        <w:t xml:space="preserve">    </w:t>
      </w:r>
    </w:p>
    <w:p w14:paraId="0477EFB4" w14:textId="77777777" w:rsidR="00505171" w:rsidRDefault="00505171">
      <w:pPr>
        <w:pStyle w:val="Standard1"/>
      </w:pPr>
    </w:p>
    <w:p w14:paraId="08337AED" w14:textId="47A47F65" w:rsidR="00505171" w:rsidRDefault="0061301B">
      <w:pPr>
        <w:pStyle w:val="Standard1"/>
      </w:pPr>
      <w:r>
        <w:t xml:space="preserve">Die Probelösung ist eine 4,95%ige </w:t>
      </w:r>
      <w:r w:rsidR="00DF5B90">
        <w:t>Säure.</w:t>
      </w:r>
    </w:p>
    <w:p w14:paraId="39FF81DB" w14:textId="77777777" w:rsidR="00505171" w:rsidRDefault="00505171">
      <w:pPr>
        <w:pStyle w:val="Standard1"/>
      </w:pPr>
    </w:p>
    <w:p w14:paraId="1A258B66" w14:textId="77777777" w:rsidR="00505171" w:rsidRDefault="00505171">
      <w:pPr>
        <w:pStyle w:val="Standard1"/>
      </w:pPr>
    </w:p>
    <w:p w14:paraId="2D617D8E" w14:textId="77777777" w:rsidR="00505171" w:rsidRPr="0061301B" w:rsidRDefault="00DF5B90">
      <w:pPr>
        <w:pStyle w:val="Standard1"/>
        <w:rPr>
          <w:b/>
        </w:rPr>
      </w:pPr>
      <w:r w:rsidRPr="0061301B">
        <w:rPr>
          <w:b/>
        </w:rPr>
        <w:t>Versuch 2: Titration von Salzsäure</w:t>
      </w:r>
    </w:p>
    <w:p w14:paraId="101A7E97" w14:textId="77777777" w:rsidR="00505171" w:rsidRDefault="00505171">
      <w:pPr>
        <w:pStyle w:val="Standard1"/>
      </w:pPr>
    </w:p>
    <w:p w14:paraId="63771DB3" w14:textId="77777777" w:rsidR="00505171" w:rsidRDefault="00DF5B90">
      <w:pPr>
        <w:pStyle w:val="Standard1"/>
      </w:pPr>
      <w:r>
        <w:t>Materialien:</w:t>
      </w:r>
    </w:p>
    <w:p w14:paraId="6BBB5ABB" w14:textId="77777777" w:rsidR="00505171" w:rsidRDefault="00505171">
      <w:pPr>
        <w:pStyle w:val="Standard1"/>
      </w:pPr>
    </w:p>
    <w:p w14:paraId="0D9497B2" w14:textId="10E31BF5" w:rsidR="00505171" w:rsidRDefault="00DF5B90">
      <w:pPr>
        <w:pStyle w:val="Standard1"/>
      </w:pPr>
      <w:r>
        <w:t>Bürette, Erlenmeyerkolben, Stativ, Do</w:t>
      </w:r>
      <w:r w:rsidR="0061301B">
        <w:t>ppelmuffe, Messzylinder, e</w:t>
      </w:r>
      <w:r>
        <w:t>lektronisches pH-Wert Messgerät</w:t>
      </w:r>
    </w:p>
    <w:p w14:paraId="188C408A" w14:textId="77777777" w:rsidR="00505171" w:rsidRDefault="00DF5B90">
      <w:pPr>
        <w:pStyle w:val="Standard1"/>
      </w:pPr>
      <w:r>
        <w:t>Maßlösung: Natronlauge (c= 1</w:t>
      </w:r>
      <w:r>
        <w:rPr>
          <w:vertAlign w:val="superscript"/>
        </w:rPr>
        <w:t>mol</w:t>
      </w:r>
      <w:r>
        <w:t>/</w:t>
      </w:r>
      <w:r>
        <w:rPr>
          <w:vertAlign w:val="subscript"/>
        </w:rPr>
        <w:t>l</w:t>
      </w:r>
      <w:r>
        <w:t>)</w:t>
      </w:r>
    </w:p>
    <w:p w14:paraId="57949C70" w14:textId="7469AED2" w:rsidR="00505171" w:rsidRDefault="00DF5B90">
      <w:pPr>
        <w:pStyle w:val="Standard1"/>
      </w:pPr>
      <w:r>
        <w:t xml:space="preserve">Probelösung: </w:t>
      </w:r>
      <w:r w:rsidR="0061301B">
        <w:t>Salzsäure</w:t>
      </w:r>
      <w:r>
        <w:t xml:space="preserve"> (c</w:t>
      </w:r>
      <w:r w:rsidR="007229A3">
        <w:t xml:space="preserve"> </w:t>
      </w:r>
      <w:r w:rsidR="007229A3">
        <w:rPr>
          <w:rFonts w:cs="Times New Roman"/>
        </w:rPr>
        <w:t>≈</w:t>
      </w:r>
      <w:r>
        <w:t xml:space="preserve"> 0,1</w:t>
      </w:r>
      <w:r>
        <w:rPr>
          <w:vertAlign w:val="superscript"/>
        </w:rPr>
        <w:t>mol</w:t>
      </w:r>
      <w:r>
        <w:t>/</w:t>
      </w:r>
      <w:r>
        <w:rPr>
          <w:vertAlign w:val="subscript"/>
        </w:rPr>
        <w:t>l</w:t>
      </w:r>
      <w:r>
        <w:t>)</w:t>
      </w:r>
    </w:p>
    <w:p w14:paraId="7B425844" w14:textId="4FC3F798" w:rsidR="00505171" w:rsidRDefault="00DF5B90">
      <w:pPr>
        <w:pStyle w:val="Standard1"/>
      </w:pPr>
      <w:r>
        <w:t xml:space="preserve">Indikator: Phenolphthalein (sollte nach Möglichkeit bei Säuren und Basen </w:t>
      </w:r>
      <w:r w:rsidR="007229A3">
        <w:t>deutlich unterscheidbare</w:t>
      </w:r>
      <w:r>
        <w:t xml:space="preserve"> Farben zeigen</w:t>
      </w:r>
      <w:r w:rsidR="007229A3">
        <w:t>; hier: farblos/rosa</w:t>
      </w:r>
      <w:r>
        <w:t>)</w:t>
      </w:r>
    </w:p>
    <w:p w14:paraId="3B4111E7" w14:textId="77777777" w:rsidR="00505171" w:rsidRDefault="00505171">
      <w:pPr>
        <w:pStyle w:val="Standard1"/>
      </w:pPr>
    </w:p>
    <w:p w14:paraId="4A58A5A8" w14:textId="77777777" w:rsidR="00505171" w:rsidRDefault="00DF5B90">
      <w:pPr>
        <w:pStyle w:val="Standard1"/>
      </w:pPr>
      <w:r>
        <w:t>Gleicher Aufbau wie in Versuch 1</w:t>
      </w:r>
    </w:p>
    <w:p w14:paraId="45D7F699" w14:textId="77777777" w:rsidR="00505171" w:rsidRDefault="00505171">
      <w:pPr>
        <w:pStyle w:val="Standard1"/>
      </w:pPr>
    </w:p>
    <w:p w14:paraId="091C19E3" w14:textId="77777777" w:rsidR="00505171" w:rsidRDefault="00DF5B90">
      <w:pPr>
        <w:pStyle w:val="Standard1"/>
      </w:pPr>
      <w:r>
        <w:t>Durchführung:</w:t>
      </w:r>
    </w:p>
    <w:p w14:paraId="1619C5D3" w14:textId="7111466B" w:rsidR="00505171" w:rsidRDefault="00DF5B90">
      <w:pPr>
        <w:pStyle w:val="Standard1"/>
      </w:pPr>
      <w:r>
        <w:t>20ml der Probelösung werden in den E</w:t>
      </w:r>
      <w:r w:rsidR="007229A3">
        <w:t>rlenmeyerkolben zusammen mit 5 T</w:t>
      </w:r>
      <w:r>
        <w:t>ropfen des Indikators ge</w:t>
      </w:r>
      <w:r w:rsidR="007229A3">
        <w:t>geben. Zu der Lösung kommt das e</w:t>
      </w:r>
      <w:r>
        <w:t>lektronische pH-Meter.</w:t>
      </w:r>
    </w:p>
    <w:p w14:paraId="75C6F781" w14:textId="77777777" w:rsidR="00505171" w:rsidRDefault="00DF5B90">
      <w:pPr>
        <w:pStyle w:val="Standard1"/>
      </w:pPr>
      <w:r>
        <w:t>50ml der Maßlösung werden in die Bürette eingefüllt.</w:t>
      </w:r>
    </w:p>
    <w:p w14:paraId="6D12177B" w14:textId="0D37BD54" w:rsidR="00505171" w:rsidRDefault="007229A3">
      <w:pPr>
        <w:pStyle w:val="Standard1"/>
      </w:pPr>
      <w:r>
        <w:t>In 0,1-ml-</w:t>
      </w:r>
      <w:r w:rsidR="00DF5B90">
        <w:t>Schritten wird die Maßlösung bis zum Farbumschlag der Probelösung hinzugefügt.</w:t>
      </w:r>
    </w:p>
    <w:p w14:paraId="6A1BC131" w14:textId="77777777" w:rsidR="00505171" w:rsidRDefault="00505171">
      <w:pPr>
        <w:pStyle w:val="Standard1"/>
      </w:pPr>
    </w:p>
    <w:p w14:paraId="45CF6A37" w14:textId="77777777" w:rsidR="00505171" w:rsidRDefault="00DF5B90">
      <w:pPr>
        <w:pStyle w:val="Standard1"/>
      </w:pPr>
      <w:r>
        <w:t>Beobachtung:</w:t>
      </w:r>
    </w:p>
    <w:p w14:paraId="412A8BA9" w14:textId="5345C855" w:rsidR="00505171" w:rsidRDefault="00DF5B90">
      <w:pPr>
        <w:pStyle w:val="Standard1"/>
      </w:pPr>
      <w:r>
        <w:t>0,1</w:t>
      </w:r>
      <w:r w:rsidR="007229A3">
        <w:t>-ml-S</w:t>
      </w:r>
      <w:bookmarkStart w:id="0" w:name="_GoBack"/>
      <w:bookmarkEnd w:id="0"/>
      <w:r>
        <w:t>chritte   1       2      3       4       5       6   …... 22     23</w:t>
      </w:r>
    </w:p>
    <w:p w14:paraId="183C9768" w14:textId="77777777" w:rsidR="00505171" w:rsidRDefault="00DF5B90">
      <w:pPr>
        <w:pStyle w:val="Standard1"/>
      </w:pPr>
      <w:r>
        <w:t>pH-Meter       0,85  0,89  0,92  0,95  0,99  1,01      1,37  7,89</w:t>
      </w:r>
    </w:p>
    <w:p w14:paraId="67892F6B" w14:textId="77777777" w:rsidR="00505171" w:rsidRDefault="00505171">
      <w:pPr>
        <w:pStyle w:val="Standard1"/>
      </w:pPr>
    </w:p>
    <w:p w14:paraId="14ED1662" w14:textId="77777777" w:rsidR="00505171" w:rsidRDefault="00DF5B90">
      <w:pPr>
        <w:pStyle w:val="Standard1"/>
      </w:pPr>
      <w:r>
        <w:t>Bei 2,3 ml ist die Farbe schlagartig von farblos auf rosa umgeschlagen.</w:t>
      </w:r>
    </w:p>
    <w:p w14:paraId="66806067" w14:textId="77777777" w:rsidR="00505171" w:rsidRDefault="00505171">
      <w:pPr>
        <w:pStyle w:val="Standard1"/>
      </w:pPr>
    </w:p>
    <w:p w14:paraId="65FF2F19" w14:textId="77777777" w:rsidR="00505171" w:rsidRDefault="00DF5B90">
      <w:pPr>
        <w:pStyle w:val="Standard1"/>
      </w:pPr>
      <w:r>
        <w:t>Auswertung:</w:t>
      </w:r>
    </w:p>
    <w:p w14:paraId="09BED091" w14:textId="77777777" w:rsidR="00505171" w:rsidRDefault="00DF5B90">
      <w:pPr>
        <w:pStyle w:val="Standard1"/>
      </w:pPr>
      <w:r>
        <w:t>Kommt in der nächsten Stunde und damit im nächsten Protokoll.</w:t>
      </w:r>
    </w:p>
    <w:p w14:paraId="7853EF2A" w14:textId="77777777" w:rsidR="00505171" w:rsidRDefault="00505171">
      <w:pPr>
        <w:pStyle w:val="Standard1"/>
      </w:pPr>
    </w:p>
    <w:p w14:paraId="470B09B4" w14:textId="77777777" w:rsidR="00505171" w:rsidRDefault="00DF5B90">
      <w:pPr>
        <w:pStyle w:val="Standard1"/>
      </w:pPr>
      <w:r>
        <w:t xml:space="preserve"> </w:t>
      </w:r>
    </w:p>
    <w:sectPr w:rsidR="0050517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61E3F" w14:textId="77777777" w:rsidR="00873A0B" w:rsidRDefault="00873A0B">
      <w:r>
        <w:separator/>
      </w:r>
    </w:p>
  </w:endnote>
  <w:endnote w:type="continuationSeparator" w:id="0">
    <w:p w14:paraId="61F0AB03" w14:textId="77777777" w:rsidR="00873A0B" w:rsidRDefault="00873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F7C20" w14:textId="77777777" w:rsidR="00873A0B" w:rsidRDefault="00873A0B">
      <w:r>
        <w:rPr>
          <w:color w:val="000000"/>
        </w:rPr>
        <w:separator/>
      </w:r>
    </w:p>
  </w:footnote>
  <w:footnote w:type="continuationSeparator" w:id="0">
    <w:p w14:paraId="1A227450" w14:textId="77777777" w:rsidR="00873A0B" w:rsidRDefault="00873A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hideGrammaticalErrors/>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171"/>
    <w:rsid w:val="00364039"/>
    <w:rsid w:val="00505171"/>
    <w:rsid w:val="0061301B"/>
    <w:rsid w:val="007229A3"/>
    <w:rsid w:val="0073656F"/>
    <w:rsid w:val="00873A0B"/>
    <w:rsid w:val="00935C87"/>
    <w:rsid w:val="00CF6848"/>
    <w:rsid w:val="00DF5B90"/>
    <w:rsid w:val="00E827B8"/>
    <w:rsid w:val="00F31E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ADBB6B4"/>
  <w15:docId w15:val="{C21F4545-D11A-4DD3-B7E3-1BB2500B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style>
  <w:style w:type="paragraph" w:customStyle="1" w:styleId="Heading">
    <w:name w:val="Heading"/>
    <w:basedOn w:val="Standard1"/>
    <w:next w:val="Textbody"/>
    <w:pPr>
      <w:keepNext/>
      <w:spacing w:before="240" w:after="120"/>
    </w:pPr>
    <w:rPr>
      <w:rFonts w:ascii="Arial" w:eastAsia="Microsoft YaHei" w:hAnsi="Arial"/>
      <w:sz w:val="28"/>
      <w:szCs w:val="28"/>
    </w:rPr>
  </w:style>
  <w:style w:type="paragraph" w:customStyle="1" w:styleId="Textbody">
    <w:name w:val="Text body"/>
    <w:basedOn w:val="Standard1"/>
    <w:pPr>
      <w:spacing w:after="120"/>
    </w:pPr>
  </w:style>
  <w:style w:type="paragraph" w:styleId="Liste">
    <w:name w:val="List"/>
    <w:basedOn w:val="Textbody"/>
  </w:style>
  <w:style w:type="paragraph" w:styleId="Beschriftung">
    <w:name w:val="caption"/>
    <w:basedOn w:val="Standard1"/>
    <w:pPr>
      <w:suppressLineNumbers/>
      <w:spacing w:before="120" w:after="120"/>
    </w:pPr>
    <w:rPr>
      <w:i/>
      <w:iCs/>
    </w:rPr>
  </w:style>
  <w:style w:type="paragraph" w:customStyle="1" w:styleId="Index">
    <w:name w:val="Index"/>
    <w:basedOn w:val="Standard1"/>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https://openclipart.org/image/2400px/svg_to_png/225578/Titration-mit-Buerette-und-Erlenmeyerkolben.png" TargetMode="External"/><Relationship Id="rId7" Type="http://schemas.openxmlformats.org/officeDocument/2006/relationships/image" Target="media/image1.wmf"/><Relationship Id="rId8" Type="http://schemas.openxmlformats.org/officeDocument/2006/relationships/oleObject" Target="embeddings/oleObject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2592</Characters>
  <Application>Microsoft Macintosh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 Schrader</dc:creator>
  <cp:lastModifiedBy>Winfried Zemann</cp:lastModifiedBy>
  <cp:revision>6</cp:revision>
  <dcterms:created xsi:type="dcterms:W3CDTF">2016-05-18T17:08:00Z</dcterms:created>
  <dcterms:modified xsi:type="dcterms:W3CDTF">2016-05-22T15:44:00Z</dcterms:modified>
</cp:coreProperties>
</file>